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F" w:rsidRPr="00E13D6F" w:rsidRDefault="003412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TNG</w:t>
      </w:r>
      <w:bookmarkStart w:id="0" w:name="_GoBack"/>
      <w:bookmarkEnd w:id="0"/>
      <w:r w:rsidR="00D457CF">
        <w:rPr>
          <w:rFonts w:ascii="Arial" w:hAnsi="Arial" w:cs="Arial"/>
          <w:b/>
          <w:sz w:val="20"/>
          <w:szCs w:val="20"/>
        </w:rPr>
        <w:t>:</w:t>
      </w:r>
      <w:r w:rsidR="00E13D6F" w:rsidRPr="00E13D6F">
        <w:rPr>
          <w:rFonts w:ascii="Arial" w:hAnsi="Arial" w:cs="Arial"/>
          <w:b/>
          <w:sz w:val="20"/>
          <w:szCs w:val="20"/>
        </w:rPr>
        <w:t xml:space="preserve"> Board Resolution</w:t>
      </w:r>
    </w:p>
    <w:p w:rsidR="00A74489" w:rsidRDefault="00A74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D30545">
        <w:rPr>
          <w:rFonts w:ascii="Arial" w:hAnsi="Arial" w:cs="Arial"/>
          <w:sz w:val="20"/>
          <w:szCs w:val="20"/>
        </w:rPr>
        <w:t>1</w:t>
      </w:r>
      <w:r w:rsidR="00453685">
        <w:rPr>
          <w:rFonts w:ascii="Arial" w:hAnsi="Arial" w:cs="Arial"/>
          <w:sz w:val="20"/>
          <w:szCs w:val="20"/>
        </w:rPr>
        <w:t>8</w:t>
      </w:r>
      <w:r w:rsidR="00D30545">
        <w:rPr>
          <w:rFonts w:ascii="Arial" w:hAnsi="Arial" w:cs="Arial"/>
          <w:sz w:val="20"/>
          <w:szCs w:val="20"/>
        </w:rPr>
        <w:t>/05/2017</w:t>
      </w:r>
      <w:r>
        <w:rPr>
          <w:rFonts w:ascii="Arial" w:hAnsi="Arial" w:cs="Arial"/>
          <w:sz w:val="20"/>
          <w:szCs w:val="20"/>
        </w:rPr>
        <w:t xml:space="preserve">, </w:t>
      </w:r>
      <w:r w:rsidR="00453685">
        <w:rPr>
          <w:rFonts w:ascii="Arial" w:hAnsi="Arial" w:cs="Arial"/>
          <w:sz w:val="20"/>
          <w:szCs w:val="20"/>
        </w:rPr>
        <w:t>TNG</w:t>
      </w:r>
      <w:r w:rsidR="00453685" w:rsidRPr="00453685">
        <w:rPr>
          <w:rFonts w:ascii="Arial" w:hAnsi="Arial" w:cs="Arial"/>
          <w:sz w:val="20"/>
          <w:szCs w:val="20"/>
        </w:rPr>
        <w:t xml:space="preserve"> </w:t>
      </w:r>
      <w:r w:rsidR="00453685">
        <w:rPr>
          <w:rFonts w:ascii="Arial" w:hAnsi="Arial" w:cs="Arial"/>
          <w:sz w:val="20"/>
          <w:szCs w:val="20"/>
        </w:rPr>
        <w:t>I</w:t>
      </w:r>
      <w:r w:rsidR="00453685" w:rsidRPr="00453685">
        <w:rPr>
          <w:rFonts w:ascii="Arial" w:hAnsi="Arial" w:cs="Arial"/>
          <w:sz w:val="20"/>
          <w:szCs w:val="20"/>
        </w:rPr>
        <w:t xml:space="preserve">nvestment and </w:t>
      </w:r>
      <w:r w:rsidR="00453685">
        <w:rPr>
          <w:rFonts w:ascii="Arial" w:hAnsi="Arial" w:cs="Arial"/>
          <w:sz w:val="20"/>
          <w:szCs w:val="20"/>
        </w:rPr>
        <w:t>T</w:t>
      </w:r>
      <w:r w:rsidR="00453685" w:rsidRPr="00453685">
        <w:rPr>
          <w:rFonts w:ascii="Arial" w:hAnsi="Arial" w:cs="Arial"/>
          <w:sz w:val="20"/>
          <w:szCs w:val="20"/>
        </w:rPr>
        <w:t xml:space="preserve">rading </w:t>
      </w:r>
      <w:r w:rsidR="00453685">
        <w:rPr>
          <w:rFonts w:ascii="Arial" w:hAnsi="Arial" w:cs="Arial"/>
          <w:sz w:val="20"/>
          <w:szCs w:val="20"/>
        </w:rPr>
        <w:t>J</w:t>
      </w:r>
      <w:r w:rsidR="00453685" w:rsidRPr="00453685">
        <w:rPr>
          <w:rFonts w:ascii="Arial" w:hAnsi="Arial" w:cs="Arial"/>
          <w:sz w:val="20"/>
          <w:szCs w:val="20"/>
        </w:rPr>
        <w:t xml:space="preserve">oint </w:t>
      </w:r>
      <w:r w:rsidR="00453685">
        <w:rPr>
          <w:rFonts w:ascii="Arial" w:hAnsi="Arial" w:cs="Arial"/>
          <w:sz w:val="20"/>
          <w:szCs w:val="20"/>
        </w:rPr>
        <w:t>S</w:t>
      </w:r>
      <w:r w:rsidR="00453685" w:rsidRPr="00453685">
        <w:rPr>
          <w:rFonts w:ascii="Arial" w:hAnsi="Arial" w:cs="Arial"/>
          <w:sz w:val="20"/>
          <w:szCs w:val="20"/>
        </w:rPr>
        <w:t xml:space="preserve">tock </w:t>
      </w:r>
      <w:r w:rsidR="00453685">
        <w:rPr>
          <w:rFonts w:ascii="Arial" w:hAnsi="Arial" w:cs="Arial"/>
          <w:sz w:val="20"/>
          <w:szCs w:val="20"/>
        </w:rPr>
        <w:t>C</w:t>
      </w:r>
      <w:r w:rsidR="00453685" w:rsidRPr="00453685">
        <w:rPr>
          <w:rFonts w:ascii="Arial" w:hAnsi="Arial" w:cs="Arial"/>
          <w:sz w:val="20"/>
          <w:szCs w:val="20"/>
        </w:rPr>
        <w:t xml:space="preserve">ompany </w:t>
      </w:r>
      <w:r>
        <w:rPr>
          <w:rFonts w:ascii="Arial" w:hAnsi="Arial" w:cs="Arial"/>
          <w:sz w:val="20"/>
          <w:szCs w:val="20"/>
        </w:rPr>
        <w:t>announced</w:t>
      </w:r>
      <w:r w:rsidR="00162014">
        <w:rPr>
          <w:rFonts w:ascii="Arial" w:hAnsi="Arial" w:cs="Arial"/>
          <w:sz w:val="20"/>
          <w:szCs w:val="20"/>
        </w:rPr>
        <w:t xml:space="preserve"> the board resolution as follows:</w:t>
      </w:r>
    </w:p>
    <w:p w:rsidR="00162014" w:rsidRDefault="00162014">
      <w:pPr>
        <w:rPr>
          <w:rFonts w:ascii="Arial" w:hAnsi="Arial" w:cs="Arial"/>
          <w:sz w:val="20"/>
          <w:szCs w:val="20"/>
        </w:rPr>
      </w:pPr>
    </w:p>
    <w:p w:rsidR="00066972" w:rsidRDefault="00316761" w:rsidP="004536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1. </w:t>
      </w:r>
      <w:r w:rsidR="00453685">
        <w:rPr>
          <w:rFonts w:ascii="Arial" w:hAnsi="Arial" w:cs="Arial"/>
          <w:sz w:val="20"/>
          <w:szCs w:val="20"/>
        </w:rPr>
        <w:t xml:space="preserve">Approve the plan on </w:t>
      </w:r>
      <w:r w:rsidR="00F145DE">
        <w:rPr>
          <w:rFonts w:ascii="Arial" w:hAnsi="Arial" w:cs="Arial"/>
          <w:sz w:val="20"/>
          <w:szCs w:val="20"/>
        </w:rPr>
        <w:t xml:space="preserve">share issuance for 2016 </w:t>
      </w:r>
      <w:r w:rsidR="0073455E">
        <w:rPr>
          <w:rFonts w:ascii="Arial" w:hAnsi="Arial" w:cs="Arial"/>
          <w:sz w:val="20"/>
          <w:szCs w:val="20"/>
        </w:rPr>
        <w:t>stock dividend</w:t>
      </w:r>
      <w:r w:rsidR="00F145DE">
        <w:rPr>
          <w:rFonts w:ascii="Arial" w:hAnsi="Arial" w:cs="Arial"/>
          <w:sz w:val="20"/>
          <w:szCs w:val="20"/>
        </w:rPr>
        <w:t xml:space="preserve"> according to 2017 Annual General Mandate no. 656C/2017/NQ-DHDCD dated 23/04/2017 under authorization of BOD, in particular:</w:t>
      </w:r>
    </w:p>
    <w:p w:rsidR="00F145DE" w:rsidRDefault="00CB19AD" w:rsidP="00F145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 name: Share of TNG</w:t>
      </w:r>
      <w:r w:rsidRPr="00453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453685">
        <w:rPr>
          <w:rFonts w:ascii="Arial" w:hAnsi="Arial" w:cs="Arial"/>
          <w:sz w:val="20"/>
          <w:szCs w:val="20"/>
        </w:rPr>
        <w:t xml:space="preserve">nvestment and </w:t>
      </w:r>
      <w:r>
        <w:rPr>
          <w:rFonts w:ascii="Arial" w:hAnsi="Arial" w:cs="Arial"/>
          <w:sz w:val="20"/>
          <w:szCs w:val="20"/>
        </w:rPr>
        <w:t>T</w:t>
      </w:r>
      <w:r w:rsidRPr="00453685">
        <w:rPr>
          <w:rFonts w:ascii="Arial" w:hAnsi="Arial" w:cs="Arial"/>
          <w:sz w:val="20"/>
          <w:szCs w:val="20"/>
        </w:rPr>
        <w:t xml:space="preserve">rading </w:t>
      </w:r>
      <w:r>
        <w:rPr>
          <w:rFonts w:ascii="Arial" w:hAnsi="Arial" w:cs="Arial"/>
          <w:sz w:val="20"/>
          <w:szCs w:val="20"/>
        </w:rPr>
        <w:t>J</w:t>
      </w:r>
      <w:r w:rsidRPr="00453685">
        <w:rPr>
          <w:rFonts w:ascii="Arial" w:hAnsi="Arial" w:cs="Arial"/>
          <w:sz w:val="20"/>
          <w:szCs w:val="20"/>
        </w:rPr>
        <w:t xml:space="preserve">oint </w:t>
      </w:r>
      <w:r>
        <w:rPr>
          <w:rFonts w:ascii="Arial" w:hAnsi="Arial" w:cs="Arial"/>
          <w:sz w:val="20"/>
          <w:szCs w:val="20"/>
        </w:rPr>
        <w:t>S</w:t>
      </w:r>
      <w:r w:rsidRPr="00453685">
        <w:rPr>
          <w:rFonts w:ascii="Arial" w:hAnsi="Arial" w:cs="Arial"/>
          <w:sz w:val="20"/>
          <w:szCs w:val="20"/>
        </w:rPr>
        <w:t xml:space="preserve">tock </w:t>
      </w:r>
      <w:r>
        <w:rPr>
          <w:rFonts w:ascii="Arial" w:hAnsi="Arial" w:cs="Arial"/>
          <w:sz w:val="20"/>
          <w:szCs w:val="20"/>
        </w:rPr>
        <w:t>C</w:t>
      </w:r>
      <w:r w:rsidRPr="00453685">
        <w:rPr>
          <w:rFonts w:ascii="Arial" w:hAnsi="Arial" w:cs="Arial"/>
          <w:sz w:val="20"/>
          <w:szCs w:val="20"/>
        </w:rPr>
        <w:t>ompany</w:t>
      </w:r>
    </w:p>
    <w:p w:rsidR="00CB19AD" w:rsidRDefault="00CB19AD" w:rsidP="00F145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 code: TNG</w:t>
      </w:r>
    </w:p>
    <w:p w:rsidR="00CB19AD" w:rsidRDefault="00CB19AD" w:rsidP="00F145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Charter capital before issuance: VND 342,649,780,000 </w:t>
      </w:r>
    </w:p>
    <w:p w:rsidR="00CB19AD" w:rsidRDefault="00CB19AD" w:rsidP="00F145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shares before issuance: 34,264,978 shares</w:t>
      </w:r>
    </w:p>
    <w:p w:rsidR="00CB19AD" w:rsidRDefault="005244AC" w:rsidP="00F145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shares to be issued: 6,852,995 shares</w:t>
      </w:r>
    </w:p>
    <w:p w:rsidR="005244AC" w:rsidRDefault="005244AC" w:rsidP="00F145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shares to be issued: Ordinary share</w:t>
      </w:r>
    </w:p>
    <w:p w:rsidR="005244AC" w:rsidRDefault="005244AC" w:rsidP="00F145D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 value: VND 10,000/share</w:t>
      </w:r>
    </w:p>
    <w:p w:rsidR="005244AC" w:rsidRDefault="004C321A" w:rsidP="004C32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Receiving </w:t>
      </w:r>
      <w:r w:rsidRPr="004C321A">
        <w:rPr>
          <w:rFonts w:ascii="Arial" w:hAnsi="Arial" w:cs="Arial"/>
          <w:sz w:val="20"/>
          <w:szCs w:val="20"/>
        </w:rPr>
        <w:t>subject</w:t>
      </w:r>
      <w:r>
        <w:rPr>
          <w:rFonts w:ascii="Arial" w:hAnsi="Arial" w:cs="Arial"/>
          <w:sz w:val="20"/>
          <w:szCs w:val="20"/>
        </w:rPr>
        <w:t xml:space="preserve">: Existing shareholders registered in shareholder register </w:t>
      </w:r>
      <w:r w:rsidR="00006803">
        <w:rPr>
          <w:rFonts w:ascii="Arial" w:hAnsi="Arial" w:cs="Arial"/>
          <w:sz w:val="20"/>
          <w:szCs w:val="20"/>
        </w:rPr>
        <w:t xml:space="preserve">recorded by Vietnam Securities Depository (VSD) at the record date to be eligible to receive 2016 </w:t>
      </w:r>
      <w:r w:rsidR="0073455E">
        <w:rPr>
          <w:rFonts w:ascii="Arial" w:hAnsi="Arial" w:cs="Arial"/>
          <w:sz w:val="20"/>
          <w:szCs w:val="20"/>
        </w:rPr>
        <w:t>stock dividend</w:t>
      </w:r>
      <w:r w:rsidR="00006803">
        <w:rPr>
          <w:rFonts w:ascii="Arial" w:hAnsi="Arial" w:cs="Arial"/>
          <w:sz w:val="20"/>
          <w:szCs w:val="20"/>
        </w:rPr>
        <w:t xml:space="preserve"> (“Last record date”)</w:t>
      </w:r>
    </w:p>
    <w:p w:rsidR="00006803" w:rsidRDefault="00006803" w:rsidP="004C321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Realized ratio: 10 :2 (Shareholder owning 10 shares shall receive 2 new shares)</w:t>
      </w:r>
    </w:p>
    <w:p w:rsidR="00006803" w:rsidRDefault="0089623E" w:rsidP="00F976B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Rounding up, settlement plan for fractional share: fractional shares </w:t>
      </w:r>
      <w:r w:rsidR="00F976B4">
        <w:rPr>
          <w:rFonts w:ascii="Arial" w:hAnsi="Arial" w:cs="Arial"/>
          <w:sz w:val="20"/>
          <w:szCs w:val="20"/>
        </w:rPr>
        <w:t xml:space="preserve">shall be rounded down to the nearest </w:t>
      </w:r>
      <w:r w:rsidR="00F976B4" w:rsidRPr="00F976B4">
        <w:rPr>
          <w:rFonts w:ascii="Arial" w:hAnsi="Arial" w:cs="Arial"/>
          <w:sz w:val="20"/>
          <w:szCs w:val="20"/>
        </w:rPr>
        <w:t>integral number</w:t>
      </w:r>
      <w:r w:rsidR="00F976B4">
        <w:rPr>
          <w:rFonts w:ascii="Arial" w:hAnsi="Arial" w:cs="Arial"/>
          <w:sz w:val="20"/>
          <w:szCs w:val="20"/>
        </w:rPr>
        <w:t xml:space="preserve">, </w:t>
      </w:r>
      <w:r w:rsidR="00E340B5">
        <w:rPr>
          <w:rFonts w:ascii="Arial" w:hAnsi="Arial" w:cs="Arial"/>
          <w:sz w:val="20"/>
          <w:szCs w:val="20"/>
        </w:rPr>
        <w:t>fractional shares (if any) shall be cancel.</w:t>
      </w:r>
    </w:p>
    <w:p w:rsidR="00E340B5" w:rsidRDefault="00E340B5" w:rsidP="00E340B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example: At the last record date to be eligible to receive 2016 </w:t>
      </w:r>
      <w:r w:rsidR="0073455E">
        <w:rPr>
          <w:rFonts w:ascii="Arial" w:hAnsi="Arial" w:cs="Arial"/>
          <w:sz w:val="20"/>
          <w:szCs w:val="20"/>
        </w:rPr>
        <w:t>stock dividend</w:t>
      </w:r>
      <w:r>
        <w:rPr>
          <w:rFonts w:ascii="Arial" w:hAnsi="Arial" w:cs="Arial"/>
          <w:sz w:val="20"/>
          <w:szCs w:val="20"/>
        </w:rPr>
        <w:t xml:space="preserve">, Shareholder A owns 123 shares. The </w:t>
      </w:r>
      <w:r w:rsidR="002A46B9">
        <w:rPr>
          <w:rFonts w:ascii="Arial" w:hAnsi="Arial" w:cs="Arial"/>
          <w:sz w:val="20"/>
          <w:szCs w:val="20"/>
        </w:rPr>
        <w:t xml:space="preserve">2016 </w:t>
      </w:r>
      <w:r w:rsidR="0073455E">
        <w:rPr>
          <w:rFonts w:ascii="Arial" w:hAnsi="Arial" w:cs="Arial"/>
          <w:sz w:val="20"/>
          <w:szCs w:val="20"/>
        </w:rPr>
        <w:t>stock dividend</w:t>
      </w:r>
      <w:r w:rsidR="002A46B9">
        <w:rPr>
          <w:rFonts w:ascii="Arial" w:hAnsi="Arial" w:cs="Arial"/>
          <w:sz w:val="20"/>
          <w:szCs w:val="20"/>
        </w:rPr>
        <w:t xml:space="preserve"> entitled by Shareholder A shall be calculated as (123 x 2)/10 = 24.6 shares. After rounding, </w:t>
      </w:r>
      <w:r w:rsidR="00B57A8F">
        <w:rPr>
          <w:rFonts w:ascii="Arial" w:hAnsi="Arial" w:cs="Arial"/>
          <w:sz w:val="20"/>
          <w:szCs w:val="20"/>
        </w:rPr>
        <w:t>Shareholder A shall receive 12 shares, the 0.6 fraction share shall be cancel.</w:t>
      </w:r>
    </w:p>
    <w:p w:rsidR="0073455E" w:rsidRDefault="009753F4" w:rsidP="00ED2C0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753F4">
        <w:rPr>
          <w:rFonts w:ascii="Arial" w:hAnsi="Arial" w:cs="Arial"/>
          <w:sz w:val="20"/>
          <w:szCs w:val="20"/>
        </w:rPr>
        <w:t>llocation</w:t>
      </w:r>
      <w:r w:rsidR="00ED2C02" w:rsidRPr="00ED2C02">
        <w:rPr>
          <w:rFonts w:ascii="Arial" w:hAnsi="Arial" w:cs="Arial"/>
          <w:sz w:val="20"/>
          <w:szCs w:val="20"/>
        </w:rPr>
        <w:t xml:space="preserve"> source</w:t>
      </w:r>
      <w:r w:rsidR="00ED2C02">
        <w:rPr>
          <w:rFonts w:ascii="Arial" w:hAnsi="Arial" w:cs="Arial"/>
          <w:sz w:val="20"/>
          <w:szCs w:val="20"/>
        </w:rPr>
        <w:t>: undistributed 2016 profit after tax</w:t>
      </w:r>
    </w:p>
    <w:p w:rsidR="00ED2C02" w:rsidRDefault="00ED2C02" w:rsidP="00ED2C0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Expected payment period: Quarter II/2017 (after being approved by SSC)</w:t>
      </w:r>
    </w:p>
    <w:p w:rsidR="00083152" w:rsidRDefault="00083152" w:rsidP="00083152">
      <w:pPr>
        <w:ind w:left="360"/>
        <w:rPr>
          <w:rFonts w:ascii="Arial" w:hAnsi="Arial" w:cs="Arial"/>
          <w:sz w:val="20"/>
          <w:szCs w:val="20"/>
        </w:rPr>
      </w:pPr>
    </w:p>
    <w:p w:rsidR="00083152" w:rsidRDefault="00083152" w:rsidP="0008315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 Charter amendment, business registration certificate change; depositing and supplementary listing</w:t>
      </w:r>
    </w:p>
    <w:p w:rsidR="00083152" w:rsidRDefault="00083152" w:rsidP="0008315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Supplement, amend Company Charter and change business registration certificate in relation with the adjustment of charter capital after </w:t>
      </w:r>
      <w:r w:rsidR="00382F3E">
        <w:rPr>
          <w:rFonts w:ascii="Arial" w:hAnsi="Arial" w:cs="Arial"/>
          <w:sz w:val="20"/>
          <w:szCs w:val="20"/>
        </w:rPr>
        <w:t xml:space="preserve">finishing new issue and report General Shareholder Meeting in the </w:t>
      </w:r>
      <w:r w:rsidR="0077453C">
        <w:rPr>
          <w:rFonts w:ascii="Arial" w:hAnsi="Arial" w:cs="Arial"/>
          <w:sz w:val="20"/>
          <w:szCs w:val="20"/>
        </w:rPr>
        <w:t>latest Meeting</w:t>
      </w:r>
      <w:r w:rsidR="00382F3E">
        <w:rPr>
          <w:rFonts w:ascii="Arial" w:hAnsi="Arial" w:cs="Arial"/>
          <w:sz w:val="20"/>
          <w:szCs w:val="20"/>
        </w:rPr>
        <w:t xml:space="preserve">, change the business registration certificate </w:t>
      </w:r>
      <w:r w:rsidR="0077453C">
        <w:rPr>
          <w:rFonts w:ascii="Arial" w:hAnsi="Arial" w:cs="Arial"/>
          <w:sz w:val="20"/>
          <w:szCs w:val="20"/>
        </w:rPr>
        <w:t>in term of new charter capital after issue.</w:t>
      </w:r>
    </w:p>
    <w:p w:rsidR="0077453C" w:rsidRDefault="0077453C" w:rsidP="0008315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After finished all procedure regarding new issue, the Company shall carry out </w:t>
      </w:r>
      <w:r w:rsidR="00CF5D9B">
        <w:rPr>
          <w:rFonts w:ascii="Arial" w:hAnsi="Arial" w:cs="Arial"/>
          <w:sz w:val="20"/>
          <w:szCs w:val="20"/>
        </w:rPr>
        <w:t>procedures on depository registering all newly issued share at Vietnam Securities Depository and list</w:t>
      </w:r>
      <w:r w:rsidR="002924E5">
        <w:rPr>
          <w:rFonts w:ascii="Arial" w:hAnsi="Arial" w:cs="Arial"/>
          <w:sz w:val="20"/>
          <w:szCs w:val="20"/>
        </w:rPr>
        <w:t xml:space="preserve"> all newly issued share on Hanoi Stock Exchange.</w:t>
      </w:r>
    </w:p>
    <w:p w:rsidR="002924E5" w:rsidRDefault="002924E5" w:rsidP="002924E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matters</w:t>
      </w:r>
    </w:p>
    <w:p w:rsidR="002924E5" w:rsidRDefault="002924E5" w:rsidP="002924E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Adjust the allocation of gain</w:t>
      </w:r>
      <w:r w:rsidR="00630D6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yield </w:t>
      </w:r>
      <w:r w:rsidR="0033373C">
        <w:rPr>
          <w:rFonts w:ascii="Arial" w:hAnsi="Arial" w:cs="Arial"/>
          <w:sz w:val="20"/>
          <w:szCs w:val="20"/>
        </w:rPr>
        <w:t xml:space="preserve">from </w:t>
      </w:r>
      <w:r w:rsidR="00630D66">
        <w:rPr>
          <w:rFonts w:ascii="Arial" w:hAnsi="Arial" w:cs="Arial"/>
          <w:sz w:val="20"/>
          <w:szCs w:val="20"/>
        </w:rPr>
        <w:t xml:space="preserve">new </w:t>
      </w:r>
      <w:r w:rsidR="0033373C">
        <w:rPr>
          <w:rFonts w:ascii="Arial" w:hAnsi="Arial" w:cs="Arial"/>
          <w:sz w:val="20"/>
          <w:szCs w:val="20"/>
        </w:rPr>
        <w:t xml:space="preserve">issue </w:t>
      </w:r>
      <w:r w:rsidR="004740D9">
        <w:rPr>
          <w:rFonts w:ascii="Arial" w:hAnsi="Arial" w:cs="Arial"/>
          <w:sz w:val="20"/>
          <w:szCs w:val="20"/>
        </w:rPr>
        <w:t xml:space="preserve">for approve use purpose </w:t>
      </w:r>
      <w:r w:rsidR="0033373C">
        <w:rPr>
          <w:rFonts w:ascii="Arial" w:hAnsi="Arial" w:cs="Arial"/>
          <w:sz w:val="20"/>
          <w:szCs w:val="20"/>
        </w:rPr>
        <w:t>and/or change us</w:t>
      </w:r>
      <w:r w:rsidR="004740D9">
        <w:rPr>
          <w:rFonts w:ascii="Arial" w:hAnsi="Arial" w:cs="Arial"/>
          <w:sz w:val="20"/>
          <w:szCs w:val="20"/>
        </w:rPr>
        <w:t>e</w:t>
      </w:r>
      <w:r w:rsidR="0033373C">
        <w:rPr>
          <w:rFonts w:ascii="Arial" w:hAnsi="Arial" w:cs="Arial"/>
          <w:sz w:val="20"/>
          <w:szCs w:val="20"/>
        </w:rPr>
        <w:t xml:space="preserve"> purpose of capital gained </w:t>
      </w:r>
      <w:r w:rsidR="00630D66">
        <w:rPr>
          <w:rFonts w:ascii="Arial" w:hAnsi="Arial" w:cs="Arial"/>
          <w:sz w:val="20"/>
          <w:szCs w:val="20"/>
        </w:rPr>
        <w:t>from new issue</w:t>
      </w:r>
      <w:r w:rsidR="004740D9">
        <w:rPr>
          <w:rFonts w:ascii="Arial" w:hAnsi="Arial" w:cs="Arial"/>
          <w:sz w:val="20"/>
          <w:szCs w:val="20"/>
        </w:rPr>
        <w:t xml:space="preserve"> in corresponding to actual condition and report to nearest GSM </w:t>
      </w:r>
      <w:r w:rsidR="00131035">
        <w:rPr>
          <w:rFonts w:ascii="Arial" w:hAnsi="Arial" w:cs="Arial"/>
          <w:sz w:val="20"/>
          <w:szCs w:val="20"/>
        </w:rPr>
        <w:t>the adjustments related to the use purpose of the capital.</w:t>
      </w:r>
    </w:p>
    <w:p w:rsidR="00131035" w:rsidRDefault="00131035" w:rsidP="002924E5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Implement </w:t>
      </w:r>
      <w:r w:rsidR="00A54986">
        <w:rPr>
          <w:rFonts w:ascii="Arial" w:hAnsi="Arial" w:cs="Arial"/>
          <w:sz w:val="20"/>
          <w:szCs w:val="20"/>
        </w:rPr>
        <w:t xml:space="preserve">the supplement, adjustment, correction or change in issue plan according to requirements of State Management Agency </w:t>
      </w:r>
      <w:r w:rsidR="00112B9D">
        <w:rPr>
          <w:rFonts w:ascii="Arial" w:hAnsi="Arial" w:cs="Arial"/>
          <w:sz w:val="20"/>
          <w:szCs w:val="20"/>
        </w:rPr>
        <w:t xml:space="preserve">in order to </w:t>
      </w:r>
      <w:r w:rsidR="00112B9D" w:rsidRPr="00112B9D">
        <w:rPr>
          <w:rFonts w:ascii="Arial" w:hAnsi="Arial" w:cs="Arial"/>
          <w:sz w:val="20"/>
          <w:szCs w:val="20"/>
        </w:rPr>
        <w:t>legitimate</w:t>
      </w:r>
      <w:r w:rsidR="00112B9D">
        <w:rPr>
          <w:rFonts w:ascii="Arial" w:hAnsi="Arial" w:cs="Arial"/>
          <w:sz w:val="20"/>
          <w:szCs w:val="20"/>
        </w:rPr>
        <w:t xml:space="preserve"> the capital call of the Company.</w:t>
      </w:r>
    </w:p>
    <w:p w:rsidR="00112B9D" w:rsidRPr="00112B9D" w:rsidRDefault="00112B9D" w:rsidP="00112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2. The Resolution takes effect from the signing date. Members of BOD, Executive Board and relating persons are </w:t>
      </w:r>
      <w:r w:rsidR="002407D5">
        <w:rPr>
          <w:rFonts w:ascii="Arial" w:hAnsi="Arial" w:cs="Arial"/>
          <w:sz w:val="20"/>
          <w:szCs w:val="20"/>
        </w:rPr>
        <w:t xml:space="preserve">responsible to implement the resolution, apply for permission of competence authorities </w:t>
      </w:r>
      <w:r w:rsidR="00D84B41">
        <w:rPr>
          <w:rFonts w:ascii="Arial" w:hAnsi="Arial" w:cs="Arial"/>
          <w:sz w:val="20"/>
          <w:szCs w:val="20"/>
        </w:rPr>
        <w:t>so as the 2016 stock dividend payment is in compliance with regulations of the law.</w:t>
      </w:r>
    </w:p>
    <w:sectPr w:rsidR="00112B9D" w:rsidRPr="00112B9D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4F7"/>
    <w:multiLevelType w:val="hybridMultilevel"/>
    <w:tmpl w:val="FC8A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F4B04"/>
    <w:multiLevelType w:val="hybridMultilevel"/>
    <w:tmpl w:val="405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042BA"/>
    <w:multiLevelType w:val="hybridMultilevel"/>
    <w:tmpl w:val="4C4673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84E1E55"/>
    <w:multiLevelType w:val="hybridMultilevel"/>
    <w:tmpl w:val="985C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205F4"/>
    <w:rsid w:val="0000528C"/>
    <w:rsid w:val="00006803"/>
    <w:rsid w:val="00066972"/>
    <w:rsid w:val="00083152"/>
    <w:rsid w:val="000F393F"/>
    <w:rsid w:val="00105F23"/>
    <w:rsid w:val="00112B9D"/>
    <w:rsid w:val="00131035"/>
    <w:rsid w:val="00132B89"/>
    <w:rsid w:val="00144C0A"/>
    <w:rsid w:val="00162014"/>
    <w:rsid w:val="00177824"/>
    <w:rsid w:val="0018072A"/>
    <w:rsid w:val="001D5DF4"/>
    <w:rsid w:val="001E4618"/>
    <w:rsid w:val="002407D5"/>
    <w:rsid w:val="00267391"/>
    <w:rsid w:val="0028726D"/>
    <w:rsid w:val="002900B5"/>
    <w:rsid w:val="002924E5"/>
    <w:rsid w:val="002A46B9"/>
    <w:rsid w:val="002A7C96"/>
    <w:rsid w:val="002D1A5A"/>
    <w:rsid w:val="002F73AB"/>
    <w:rsid w:val="00316761"/>
    <w:rsid w:val="00321763"/>
    <w:rsid w:val="00326C3A"/>
    <w:rsid w:val="0033373C"/>
    <w:rsid w:val="00341257"/>
    <w:rsid w:val="00365F36"/>
    <w:rsid w:val="003712C8"/>
    <w:rsid w:val="003818BB"/>
    <w:rsid w:val="00382F3E"/>
    <w:rsid w:val="003C42B0"/>
    <w:rsid w:val="003E5FBB"/>
    <w:rsid w:val="004507D5"/>
    <w:rsid w:val="00453685"/>
    <w:rsid w:val="004740D9"/>
    <w:rsid w:val="004878CB"/>
    <w:rsid w:val="0049165F"/>
    <w:rsid w:val="004C321A"/>
    <w:rsid w:val="00510607"/>
    <w:rsid w:val="00513676"/>
    <w:rsid w:val="005244AC"/>
    <w:rsid w:val="00545316"/>
    <w:rsid w:val="0054776B"/>
    <w:rsid w:val="00595D89"/>
    <w:rsid w:val="00596311"/>
    <w:rsid w:val="005D7224"/>
    <w:rsid w:val="005D7266"/>
    <w:rsid w:val="005E2774"/>
    <w:rsid w:val="00610714"/>
    <w:rsid w:val="00615A2B"/>
    <w:rsid w:val="00617B57"/>
    <w:rsid w:val="00630D66"/>
    <w:rsid w:val="00680270"/>
    <w:rsid w:val="00681117"/>
    <w:rsid w:val="00685494"/>
    <w:rsid w:val="006A07E6"/>
    <w:rsid w:val="006A3D28"/>
    <w:rsid w:val="006C2813"/>
    <w:rsid w:val="00713E65"/>
    <w:rsid w:val="00722669"/>
    <w:rsid w:val="0073455E"/>
    <w:rsid w:val="0077453C"/>
    <w:rsid w:val="00791706"/>
    <w:rsid w:val="007A4FF1"/>
    <w:rsid w:val="007B0440"/>
    <w:rsid w:val="007B2C44"/>
    <w:rsid w:val="007C42C4"/>
    <w:rsid w:val="007F70D5"/>
    <w:rsid w:val="008056FA"/>
    <w:rsid w:val="00814E4A"/>
    <w:rsid w:val="0084057E"/>
    <w:rsid w:val="0085167D"/>
    <w:rsid w:val="008612B2"/>
    <w:rsid w:val="00883FD8"/>
    <w:rsid w:val="00886F1D"/>
    <w:rsid w:val="0089623E"/>
    <w:rsid w:val="008B0163"/>
    <w:rsid w:val="008C6D07"/>
    <w:rsid w:val="008D72AF"/>
    <w:rsid w:val="008E7602"/>
    <w:rsid w:val="0093329B"/>
    <w:rsid w:val="009753F4"/>
    <w:rsid w:val="009C56FB"/>
    <w:rsid w:val="009D71C1"/>
    <w:rsid w:val="00A03127"/>
    <w:rsid w:val="00A177C9"/>
    <w:rsid w:val="00A54986"/>
    <w:rsid w:val="00A56205"/>
    <w:rsid w:val="00A604FC"/>
    <w:rsid w:val="00A74489"/>
    <w:rsid w:val="00A82F83"/>
    <w:rsid w:val="00AB0381"/>
    <w:rsid w:val="00AE7DBF"/>
    <w:rsid w:val="00AF4F47"/>
    <w:rsid w:val="00B178CD"/>
    <w:rsid w:val="00B17B16"/>
    <w:rsid w:val="00B22007"/>
    <w:rsid w:val="00B3226C"/>
    <w:rsid w:val="00B33985"/>
    <w:rsid w:val="00B57A8F"/>
    <w:rsid w:val="00B66F1F"/>
    <w:rsid w:val="00B7453B"/>
    <w:rsid w:val="00B93D4D"/>
    <w:rsid w:val="00C01E56"/>
    <w:rsid w:val="00C14F98"/>
    <w:rsid w:val="00CB19AD"/>
    <w:rsid w:val="00CE584D"/>
    <w:rsid w:val="00CF5D9B"/>
    <w:rsid w:val="00D205F4"/>
    <w:rsid w:val="00D30545"/>
    <w:rsid w:val="00D400FF"/>
    <w:rsid w:val="00D457CF"/>
    <w:rsid w:val="00D84B41"/>
    <w:rsid w:val="00DE2259"/>
    <w:rsid w:val="00E04689"/>
    <w:rsid w:val="00E13D6F"/>
    <w:rsid w:val="00E340B5"/>
    <w:rsid w:val="00E35F49"/>
    <w:rsid w:val="00E40A80"/>
    <w:rsid w:val="00E4141B"/>
    <w:rsid w:val="00E949FB"/>
    <w:rsid w:val="00EB6C36"/>
    <w:rsid w:val="00ED219D"/>
    <w:rsid w:val="00ED2C02"/>
    <w:rsid w:val="00EE2F8C"/>
    <w:rsid w:val="00EE78BA"/>
    <w:rsid w:val="00F12948"/>
    <w:rsid w:val="00F145DE"/>
    <w:rsid w:val="00F2461F"/>
    <w:rsid w:val="00F448EF"/>
    <w:rsid w:val="00F82FEC"/>
    <w:rsid w:val="00F976B4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FCEFE-A8C3-4863-B9B4-4A6BE8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16"/>
    <w:pPr>
      <w:ind w:left="720"/>
      <w:contextualSpacing/>
    </w:pPr>
  </w:style>
  <w:style w:type="table" w:styleId="TableGrid">
    <w:name w:val="Table Grid"/>
    <w:basedOn w:val="TableNormal"/>
    <w:uiPriority w:val="59"/>
    <w:rsid w:val="00E414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2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62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39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1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911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9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7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8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20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28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4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29</cp:revision>
  <dcterms:created xsi:type="dcterms:W3CDTF">2017-05-17T13:20:00Z</dcterms:created>
  <dcterms:modified xsi:type="dcterms:W3CDTF">2017-05-23T09:10:00Z</dcterms:modified>
</cp:coreProperties>
</file>